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line="360" w:lineRule="auto"/>
        <w:ind w:right="-57" w:rightChars="-27" w:firstLine="0" w:firstLineChars="0"/>
        <w:rPr>
          <w:rFonts w:hint="eastAsia" w:ascii="微软雅黑" w:hAnsi="微软雅黑" w:eastAsia="微软雅黑" w:cs="微软雅黑"/>
        </w:rPr>
      </w:pPr>
      <w:r>
        <w:rPr>
          <w:rFonts w:hint="eastAsia" w:ascii="宋体" w:hAnsi="宋体" w:cs="宋体"/>
          <w:color w:val="000000"/>
          <w:kern w:val="44"/>
        </w:rPr>
        <w:t>第</w:t>
      </w:r>
      <w:r>
        <w:rPr>
          <w:rFonts w:hint="eastAsia" w:ascii="宋体" w:hAnsi="宋体" w:cs="宋体"/>
          <w:color w:val="000000"/>
          <w:kern w:val="44"/>
          <w:lang w:val="en-US" w:eastAsia="zh-CN"/>
        </w:rPr>
        <w:t>一</w:t>
      </w:r>
      <w:r>
        <w:rPr>
          <w:rFonts w:hint="eastAsia" w:ascii="宋体" w:hAnsi="宋体" w:cs="宋体"/>
          <w:color w:val="000000"/>
          <w:kern w:val="44"/>
        </w:rPr>
        <w:t>篇</w:t>
      </w:r>
    </w:p>
    <w:p>
      <w:pPr>
        <w:pStyle w:val="3"/>
        <w:spacing w:before="156" w:line="360" w:lineRule="auto"/>
        <w:ind w:right="-57" w:rightChars="-27" w:firstLine="0" w:firstLineChars="0"/>
        <w:jc w:val="center"/>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年全国大学生测绘学科创新创业智能大赛——科技论文竞赛</w:t>
      </w:r>
    </w:p>
    <w:p>
      <w:pPr>
        <w:pStyle w:val="4"/>
        <w:tabs>
          <w:tab w:val="left" w:pos="6075"/>
        </w:tabs>
        <w:spacing w:before="0" w:after="0" w:line="480" w:lineRule="auto"/>
        <w:rPr>
          <w:rFonts w:hint="eastAsia" w:ascii="宋体" w:hAnsi="宋体" w:cs="宋体"/>
          <w:color w:val="000000"/>
          <w:kern w:val="44"/>
        </w:rPr>
      </w:pPr>
      <w:r>
        <w:rPr>
          <w:rFonts w:hint="eastAsia" w:ascii="宋体" w:hAnsi="宋体" w:eastAsia="宋体" w:cs="宋体"/>
          <w:b/>
          <w:bCs/>
          <w:color w:val="000000"/>
          <w:kern w:val="44"/>
          <w:sz w:val="28"/>
          <w:szCs w:val="28"/>
          <w:lang w:val="en-US" w:eastAsia="zh-CN" w:bidi="ar-SA"/>
        </w:rPr>
        <w:t>基于多源遥感数据的西北干旱区植被固碳时空演变及气候响应分析</w:t>
      </w:r>
    </w:p>
    <w:p>
      <w:pPr>
        <w:pStyle w:val="3"/>
        <w:spacing w:before="156" w:line="360" w:lineRule="auto"/>
        <w:ind w:right="-57" w:rightChars="-27" w:firstLine="0" w:firstLineChars="0"/>
        <w:jc w:val="center"/>
        <w:rPr>
          <w:rFonts w:hint="eastAsia" w:ascii="宋体" w:hAnsi="宋体" w:eastAsia="宋体" w:cs="宋体"/>
          <w:sz w:val="21"/>
          <w:szCs w:val="21"/>
          <w:lang w:val="en-US" w:eastAsia="zh-CN"/>
        </w:rPr>
      </w:pPr>
      <w:r>
        <w:rPr>
          <w:rFonts w:hint="eastAsia" w:ascii="宋体" w:hAnsi="宋体" w:cs="宋体"/>
          <w:sz w:val="21"/>
          <w:szCs w:val="21"/>
        </w:rPr>
        <w:t>作者：</w:t>
      </w:r>
      <w:r>
        <w:rPr>
          <w:rFonts w:hint="eastAsia" w:ascii="宋体" w:hAnsi="宋体" w:cs="宋体"/>
          <w:sz w:val="21"/>
          <w:szCs w:val="21"/>
          <w:lang w:val="en-US" w:eastAsia="zh-CN"/>
        </w:rPr>
        <w:t>石一淳</w:t>
      </w:r>
      <w:r>
        <w:rPr>
          <w:rFonts w:hint="eastAsia" w:ascii="宋体" w:hAnsi="宋体" w:cs="宋体"/>
          <w:sz w:val="21"/>
          <w:szCs w:val="21"/>
        </w:rPr>
        <w:t xml:space="preserve"> </w:t>
      </w:r>
      <w:r>
        <w:rPr>
          <w:rFonts w:hint="eastAsia" w:ascii="宋体" w:hAnsi="宋体" w:cs="宋体"/>
          <w:sz w:val="21"/>
          <w:szCs w:val="21"/>
          <w:lang w:val="en-US" w:eastAsia="zh-CN"/>
        </w:rPr>
        <w:t>李刚 朱锦文</w:t>
      </w:r>
      <w:r>
        <w:rPr>
          <w:rFonts w:hint="eastAsia" w:ascii="宋体" w:hAnsi="宋体" w:cs="宋体"/>
          <w:sz w:val="21"/>
          <w:szCs w:val="21"/>
        </w:rPr>
        <w:t xml:space="preserve">     指导老师：</w:t>
      </w:r>
      <w:r>
        <w:rPr>
          <w:rFonts w:hint="eastAsia" w:ascii="宋体" w:hAnsi="宋体" w:cs="宋体"/>
          <w:sz w:val="21"/>
          <w:szCs w:val="21"/>
          <w:lang w:val="en-US" w:eastAsia="zh-CN"/>
        </w:rPr>
        <w:t>刘梦云</w:t>
      </w:r>
    </w:p>
    <w:p>
      <w:pPr>
        <w:pStyle w:val="2"/>
        <w:spacing w:before="156" w:after="156" w:afterLines="50" w:line="360" w:lineRule="auto"/>
        <w:ind w:firstLine="0" w:firstLineChars="0"/>
        <w:jc w:val="both"/>
        <w:rPr>
          <w:rFonts w:hint="eastAsia" w:ascii="宋体" w:hAnsi="宋体" w:eastAsia="宋体" w:cs="宋体"/>
          <w:b w:val="0"/>
          <w:bCs w:val="0"/>
          <w:color w:val="000000"/>
          <w:sz w:val="24"/>
        </w:rPr>
      </w:pPr>
      <w:bookmarkStart w:id="0" w:name="_Toc16370754"/>
      <w:bookmarkStart w:id="1" w:name="_Toc197517598"/>
      <w:r>
        <w:rPr>
          <w:rFonts w:hint="eastAsia" w:ascii="宋体" w:hAnsi="宋体" w:cs="宋体"/>
          <w:color w:val="000000"/>
          <w:sz w:val="24"/>
        </w:rPr>
        <w:t>摘 要</w:t>
      </w:r>
      <w:bookmarkEnd w:id="0"/>
      <w:bookmarkEnd w:id="1"/>
      <w:r>
        <w:rPr>
          <w:rFonts w:hint="eastAsia" w:ascii="宋体" w:hAnsi="宋体" w:cs="宋体"/>
          <w:b w:val="0"/>
          <w:bCs w:val="0"/>
          <w:color w:val="000000"/>
          <w:sz w:val="24"/>
        </w:rPr>
        <w:t>：</w:t>
      </w:r>
      <w:r>
        <w:rPr>
          <w:rFonts w:hint="eastAsia" w:ascii="宋体" w:hAnsi="宋体" w:eastAsia="宋体" w:cs="宋体"/>
          <w:b w:val="0"/>
          <w:bCs w:val="0"/>
          <w:color w:val="000000"/>
          <w:sz w:val="24"/>
        </w:rPr>
        <w:t>定量分析西北干旱区植被净初级生产力（NPP）对降水和气温的滞后响应关系及地形因子的调控作用，对深入理解干旱区植被固碳响应机制、评估区域碳汇潜力及制定生态恢复策略具有重要意义。基于1984—2022年的归一化植被指数（NDVI）与气候、地形等多源数据，运</w:t>
      </w:r>
      <w:r>
        <w:rPr>
          <w:rFonts w:hint="eastAsia" w:ascii="宋体" w:hAnsi="宋体" w:cs="宋体"/>
          <w:b w:val="0"/>
          <w:bCs w:val="0"/>
          <w:color w:val="000000"/>
          <w:sz w:val="24"/>
          <w:lang w:val="en-US" w:eastAsia="zh-CN"/>
        </w:rPr>
        <w:t>用</w:t>
      </w:r>
      <w:r>
        <w:rPr>
          <w:rFonts w:hint="eastAsia" w:ascii="宋体" w:hAnsi="宋体" w:eastAsia="宋体" w:cs="宋体"/>
          <w:b w:val="0"/>
          <w:bCs w:val="0"/>
          <w:color w:val="000000"/>
          <w:sz w:val="24"/>
        </w:rPr>
        <w:t>CASA模型估算植被NPP，并结合Sen+Mann-Kendall趋势分析法与时滞偏相关分析方法。</w:t>
      </w:r>
      <w:r>
        <w:rPr>
          <w:rFonts w:hint="eastAsia" w:ascii="宋体" w:hAnsi="宋体" w:eastAsia="宋体" w:cs="宋体"/>
          <w:b w:val="0"/>
          <w:bCs w:val="0"/>
          <w:color w:val="000000"/>
          <w:sz w:val="24"/>
          <w:lang w:val="en-US" w:eastAsia="zh-CN"/>
        </w:rPr>
        <w:t>结果表明：</w:t>
      </w:r>
      <w:r>
        <w:rPr>
          <w:rFonts w:hint="eastAsia" w:ascii="宋体" w:hAnsi="宋体" w:eastAsia="宋体" w:cs="宋体"/>
          <w:b w:val="0"/>
          <w:bCs w:val="0"/>
          <w:color w:val="000000"/>
          <w:sz w:val="24"/>
        </w:rPr>
        <w:t>（1）西北干旱区NPP空间格局呈“西北、东南高，中间低”的分布特征，高值区主要位于天山、阿尔泰山及塔里木河流域等山区与绿洲；研究期间，区域NPP总体呈波动上升趋势，63%的区域表现为增加趋势。（2）植被NPP对降水和气温的响应存在显著的时间滞后效应，滞后区主要分布于准噶尔盆地及塔里木盆地等区域，平均滞后时间分别为0.86个月和1.50个月。（3）地形对植被-气候响应关系具有显著的调控作用：NPP对降水的响应强度随海拔升高呈现先增加后减小的趋势，随坡度增加而递减；而陡坡区域植被对气温变化的敏感性则有所增强。西北干旱区植被固碳能力对水热因子的响应具有明显的滞后性与空间异质性，且受地形因子调控。该结果揭示了干旱区植被碳汇对气候变化的响应机制，可为区域生态恢复策略制定与碳汇精细化管理提供科学依据。</w:t>
      </w:r>
    </w:p>
    <w:p>
      <w:pPr>
        <w:pStyle w:val="2"/>
        <w:spacing w:before="156" w:after="156" w:afterLines="50" w:line="360" w:lineRule="auto"/>
        <w:ind w:firstLine="0" w:firstLineChars="0"/>
        <w:jc w:val="both"/>
        <w:rPr>
          <w:rFonts w:hint="eastAsia" w:ascii="宋体" w:hAnsi="宋体" w:eastAsia="宋体" w:cs="宋体"/>
          <w:b w:val="0"/>
          <w:bCs w:val="0"/>
          <w:color w:val="000000"/>
          <w:sz w:val="24"/>
          <w:lang w:val="en-US" w:eastAsia="zh-CN"/>
        </w:rPr>
      </w:pPr>
      <w:r>
        <w:rPr>
          <w:rFonts w:hint="eastAsia" w:ascii="宋体" w:hAnsi="宋体" w:cs="宋体"/>
          <w:color w:val="000000"/>
          <w:sz w:val="24"/>
        </w:rPr>
        <w:t>关键词：</w:t>
      </w:r>
      <w:r>
        <w:rPr>
          <w:rFonts w:hint="eastAsia" w:ascii="宋体" w:hAnsi="宋体" w:eastAsia="宋体" w:cs="宋体"/>
          <w:b w:val="0"/>
          <w:bCs w:val="0"/>
          <w:color w:val="000000"/>
          <w:sz w:val="24"/>
          <w:lang w:val="en-US" w:eastAsia="zh-CN"/>
        </w:rPr>
        <w:t>植被固碳；净初级生产力；时滞效应；</w:t>
      </w:r>
      <w:r>
        <w:rPr>
          <w:rFonts w:hint="eastAsia" w:ascii="宋体" w:hAnsi="宋体" w:cs="宋体"/>
          <w:b w:val="0"/>
          <w:bCs w:val="0"/>
          <w:color w:val="000000"/>
          <w:sz w:val="24"/>
          <w:lang w:val="en-US" w:eastAsia="zh-CN"/>
        </w:rPr>
        <w:t>地形调控；</w:t>
      </w:r>
      <w:r>
        <w:rPr>
          <w:rFonts w:hint="eastAsia" w:ascii="宋体" w:hAnsi="宋体" w:eastAsia="宋体" w:cs="宋体"/>
          <w:b w:val="0"/>
          <w:bCs w:val="0"/>
          <w:color w:val="000000"/>
          <w:sz w:val="24"/>
          <w:lang w:val="en-US" w:eastAsia="zh-CN"/>
        </w:rPr>
        <w:t>西北干旱区；</w:t>
      </w:r>
    </w:p>
    <w:p>
      <w:pPr>
        <w:rPr>
          <w:rFonts w:hint="eastAsia" w:ascii="宋体" w:hAnsi="宋体" w:eastAsia="宋体" w:cs="宋体"/>
          <w:b w:val="0"/>
          <w:bCs w:val="0"/>
          <w:color w:val="000000"/>
          <w:sz w:val="24"/>
          <w:lang w:val="en-US" w:eastAsia="zh-CN"/>
        </w:rPr>
      </w:pPr>
    </w:p>
    <w:p>
      <w:pPr>
        <w:rPr>
          <w:rFonts w:hint="eastAsia" w:ascii="宋体" w:hAnsi="宋体" w:eastAsia="宋体" w:cs="宋体"/>
          <w:b w:val="0"/>
          <w:bCs w:val="0"/>
          <w:color w:val="000000"/>
          <w:sz w:val="24"/>
          <w:lang w:val="en-US" w:eastAsia="zh-CN"/>
        </w:rPr>
      </w:pPr>
    </w:p>
    <w:p>
      <w:pPr>
        <w:rPr>
          <w:rFonts w:hint="eastAsia" w:ascii="宋体" w:hAnsi="宋体" w:eastAsia="宋体" w:cs="宋体"/>
          <w:b w:val="0"/>
          <w:bCs w:val="0"/>
          <w:color w:val="000000"/>
          <w:sz w:val="24"/>
          <w:lang w:val="en-US" w:eastAsia="zh-CN"/>
        </w:rPr>
      </w:pPr>
    </w:p>
    <w:p>
      <w:pPr>
        <w:rPr>
          <w:rFonts w:hint="eastAsia" w:ascii="宋体" w:hAnsi="宋体" w:eastAsia="宋体" w:cs="宋体"/>
          <w:b w:val="0"/>
          <w:bCs w:val="0"/>
          <w:color w:val="000000"/>
          <w:sz w:val="24"/>
          <w:lang w:val="en-US" w:eastAsia="zh-CN"/>
        </w:rPr>
      </w:pPr>
    </w:p>
    <w:p>
      <w:pPr>
        <w:rPr>
          <w:rFonts w:hint="eastAsia" w:ascii="宋体" w:hAnsi="宋体" w:eastAsia="宋体" w:cs="宋体"/>
          <w:b w:val="0"/>
          <w:bCs w:val="0"/>
          <w:color w:val="000000"/>
          <w:sz w:val="24"/>
          <w:lang w:val="en-US" w:eastAsia="zh-CN"/>
        </w:rPr>
      </w:pPr>
    </w:p>
    <w:p>
      <w:pPr>
        <w:rPr>
          <w:rFonts w:hint="eastAsia" w:ascii="宋体" w:hAnsi="宋体" w:eastAsia="宋体" w:cs="宋体"/>
          <w:b w:val="0"/>
          <w:bCs w:val="0"/>
          <w:color w:val="000000"/>
          <w:sz w:val="24"/>
          <w:lang w:val="en-US" w:eastAsia="zh-CN"/>
        </w:rPr>
      </w:pPr>
    </w:p>
    <w:p>
      <w:pPr>
        <w:rPr>
          <w:rFonts w:hint="eastAsia" w:ascii="宋体" w:hAnsi="宋体" w:eastAsia="宋体" w:cs="宋体"/>
          <w:b w:val="0"/>
          <w:bCs w:val="0"/>
          <w:color w:val="000000"/>
          <w:sz w:val="24"/>
          <w:lang w:val="en-US" w:eastAsia="zh-CN"/>
        </w:rPr>
      </w:pPr>
    </w:p>
    <w:p>
      <w:pPr>
        <w:rPr>
          <w:rFonts w:hint="eastAsia" w:ascii="宋体" w:hAnsi="宋体" w:eastAsia="宋体" w:cs="宋体"/>
          <w:b w:val="0"/>
          <w:bCs w:val="0"/>
          <w:color w:val="000000"/>
          <w:sz w:val="24"/>
          <w:lang w:val="en-US" w:eastAsia="zh-CN"/>
        </w:rPr>
      </w:pPr>
    </w:p>
    <w:p>
      <w:pPr>
        <w:rPr>
          <w:rFonts w:hint="eastAsia" w:ascii="宋体" w:hAnsi="宋体" w:eastAsia="宋体" w:cs="宋体"/>
          <w:b w:val="0"/>
          <w:bCs w:val="0"/>
          <w:color w:val="000000"/>
          <w:sz w:val="24"/>
          <w:lang w:val="en-US" w:eastAsia="zh-CN"/>
        </w:rPr>
      </w:pPr>
    </w:p>
    <w:p>
      <w:pPr>
        <w:rPr>
          <w:rFonts w:hint="eastAsia" w:ascii="宋体" w:hAnsi="宋体" w:cs="宋体"/>
          <w:b w:val="0"/>
          <w:bCs w:val="0"/>
          <w:color w:val="000000"/>
          <w:sz w:val="24"/>
        </w:rPr>
      </w:pPr>
    </w:p>
    <w:p>
      <w:pPr>
        <w:snapToGrid w:val="0"/>
        <w:spacing w:line="360" w:lineRule="auto"/>
        <w:ind w:right="504" w:rightChars="240"/>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8"/>
          <w:szCs w:val="28"/>
          <w:lang w:val="en-US" w:eastAsia="zh-CN"/>
        </w:rPr>
        <w:t>第二篇</w:t>
      </w:r>
    </w:p>
    <w:p>
      <w:pPr>
        <w:pStyle w:val="3"/>
        <w:spacing w:before="156" w:line="360" w:lineRule="auto"/>
        <w:ind w:right="-57" w:rightChars="-27" w:firstLine="0" w:firstLineChars="0"/>
        <w:jc w:val="center"/>
        <w:rPr>
          <w:rFonts w:hint="eastAsia" w:ascii="微软雅黑" w:hAnsi="微软雅黑" w:eastAsia="微软雅黑" w:cs="微软雅黑"/>
        </w:rPr>
      </w:pPr>
      <w:r>
        <w:rPr>
          <w:rFonts w:hint="eastAsia" w:ascii="微软雅黑" w:hAnsi="微软雅黑" w:eastAsia="微软雅黑" w:cs="微软雅黑"/>
        </w:rPr>
        <w:t>2026年全国大学生测绘学科创新创业智能大赛——科技论文竞赛</w:t>
      </w:r>
    </w:p>
    <w:p>
      <w:pPr>
        <w:rPr>
          <w:rFonts w:hint="eastAsia" w:ascii="宋体" w:hAnsi="宋体" w:cs="宋体"/>
          <w:b w:val="0"/>
          <w:bCs w:val="0"/>
          <w:color w:val="000000"/>
          <w:sz w:val="24"/>
        </w:rPr>
      </w:pPr>
    </w:p>
    <w:p>
      <w:pPr>
        <w:pStyle w:val="3"/>
        <w:spacing w:before="156" w:line="360" w:lineRule="auto"/>
        <w:ind w:right="-57" w:rightChars="-27" w:firstLine="0" w:firstLineChars="0"/>
        <w:jc w:val="center"/>
        <w:rPr>
          <w:rFonts w:hint="eastAsia" w:ascii="宋体" w:hAnsi="宋体" w:cs="宋体"/>
          <w:color w:val="000000"/>
          <w:kern w:val="44"/>
        </w:rPr>
      </w:pPr>
      <w:r>
        <w:rPr>
          <w:rFonts w:hint="eastAsia" w:ascii="宋体" w:hAnsi="宋体" w:cs="宋体"/>
          <w:color w:val="000000"/>
          <w:kern w:val="44"/>
        </w:rPr>
        <w:t>时空立方体对脉冲式热度扰动的响应特性研究</w:t>
      </w:r>
    </w:p>
    <w:p>
      <w:pPr>
        <w:pStyle w:val="3"/>
        <w:spacing w:before="156" w:line="360" w:lineRule="auto"/>
        <w:ind w:right="-57" w:rightChars="-27" w:firstLine="0" w:firstLineChars="0"/>
        <w:jc w:val="center"/>
        <w:rPr>
          <w:rFonts w:hint="eastAsia" w:ascii="宋体" w:hAnsi="宋体" w:cs="宋体"/>
          <w:color w:val="000000"/>
          <w:kern w:val="44"/>
        </w:rPr>
      </w:pPr>
      <w:r>
        <w:rPr>
          <w:rFonts w:ascii="宋体" w:hAnsi="宋体" w:cs="宋体"/>
          <w:color w:val="000000"/>
          <w:kern w:val="44"/>
        </w:rPr>
        <w:t>——以哈尔滨网红效应为例</w:t>
      </w:r>
    </w:p>
    <w:p>
      <w:pPr>
        <w:pStyle w:val="3"/>
        <w:spacing w:before="156" w:line="360" w:lineRule="auto"/>
        <w:ind w:right="-57" w:rightChars="-27"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作者：戚恒博 李亚泽 苗海涛     指导老师：王小平</w:t>
      </w:r>
    </w:p>
    <w:p>
      <w:pPr>
        <w:pStyle w:val="2"/>
        <w:spacing w:before="156" w:after="156" w:afterLines="50" w:line="360" w:lineRule="auto"/>
        <w:ind w:firstLine="0" w:firstLineChars="0"/>
        <w:jc w:val="both"/>
        <w:rPr>
          <w:rFonts w:hint="eastAsia" w:ascii="宋体" w:hAnsi="宋体" w:cs="宋体"/>
          <w:b w:val="0"/>
          <w:bCs w:val="0"/>
          <w:color w:val="000000"/>
          <w:sz w:val="24"/>
        </w:rPr>
      </w:pPr>
      <w:r>
        <w:rPr>
          <w:rFonts w:hint="eastAsia" w:ascii="宋体" w:hAnsi="宋体" w:cs="宋体"/>
          <w:color w:val="000000"/>
          <w:sz w:val="24"/>
        </w:rPr>
        <w:t>摘 要：</w:t>
      </w:r>
      <w:r>
        <w:rPr>
          <w:rFonts w:hint="eastAsia" w:ascii="宋体" w:hAnsi="宋体" w:cs="宋体"/>
          <w:b w:val="0"/>
          <w:bCs w:val="0"/>
          <w:color w:val="000000"/>
          <w:sz w:val="24"/>
        </w:rPr>
        <w:t>社交媒体驱动的城市旅游热度爆发现象是脉冲式扰动的典型表现，然而针对此类现象的地学研究尚属空白。本文以时空立方体为分析工具，以哈尔滨网红效应为典型脉冲案例，探究其在面对脉冲式扰动时的参数敏感性与响应特性。构建“单扰动—多参数”观测框架，设计空间尺度与时间粒度组合实验，系统检验时空立方体对脉冲式热度扰动的响应特性。结果发现：（1）Mann-Kendall检验UF曲线于2023年11月突破95%置信线，确认该时间点为脉冲扰动节点。（2）研究时段内60个月的全局莫兰指数均为负值（月均-0.09，p&gt;0.05），研究点位的热度分布在空间上未形成显著的集聚格局。（3）组合实验发现时间粒度敏感性高于空间粒度—持续热点数量由周尺度的0增加至季尺度的8376，点位模式随时间粒度变化发生反转效应，且各参数组合下均未识别出新发热点。由此，本文提出三项参数配置建议：锚定持续热点，审慎对待新发热点，优先确定时间粒度。本文方法学框架可推广至同类脉冲事件研究。</w:t>
      </w:r>
    </w:p>
    <w:p>
      <w:pPr>
        <w:pStyle w:val="2"/>
        <w:spacing w:before="156" w:after="156" w:afterLines="50" w:line="360" w:lineRule="auto"/>
        <w:ind w:firstLine="0" w:firstLineChars="0"/>
        <w:jc w:val="both"/>
        <w:rPr>
          <w:rFonts w:hint="eastAsia" w:ascii="宋体" w:hAnsi="宋体" w:cs="宋体"/>
          <w:b w:val="0"/>
          <w:bCs w:val="0"/>
          <w:color w:val="000000"/>
          <w:sz w:val="24"/>
        </w:rPr>
      </w:pPr>
      <w:r>
        <w:rPr>
          <w:rFonts w:hint="eastAsia" w:ascii="宋体" w:hAnsi="宋体" w:cs="宋体"/>
          <w:color w:val="000000"/>
          <w:sz w:val="24"/>
        </w:rPr>
        <w:t>关键词</w:t>
      </w:r>
      <w:r>
        <w:rPr>
          <w:rFonts w:hint="eastAsia" w:ascii="宋体" w:hAnsi="宋体" w:cs="宋体"/>
          <w:b w:val="0"/>
          <w:bCs w:val="0"/>
          <w:color w:val="000000"/>
          <w:sz w:val="24"/>
        </w:rPr>
        <w:t>：脉冲式扰动；时空立方体；参数敏感性；全局莫兰指数</w:t>
      </w: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snapToGrid w:val="0"/>
        <w:spacing w:line="360" w:lineRule="auto"/>
        <w:ind w:right="504" w:rightChars="240"/>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8"/>
          <w:szCs w:val="28"/>
          <w:lang w:val="en-US" w:eastAsia="zh-CN"/>
        </w:rPr>
        <w:t>第三篇</w:t>
      </w:r>
    </w:p>
    <w:p>
      <w:pPr>
        <w:pStyle w:val="3"/>
        <w:spacing w:before="156" w:line="360" w:lineRule="auto"/>
        <w:ind w:right="-57" w:rightChars="-27" w:firstLine="0" w:firstLineChars="0"/>
        <w:jc w:val="center"/>
        <w:rPr>
          <w:rFonts w:hint="eastAsia" w:ascii="微软雅黑" w:hAnsi="微软雅黑" w:eastAsia="微软雅黑" w:cs="微软雅黑"/>
        </w:rPr>
      </w:pPr>
      <w:r>
        <w:rPr>
          <w:rFonts w:hint="eastAsia" w:ascii="微软雅黑" w:hAnsi="微软雅黑" w:eastAsia="微软雅黑" w:cs="微软雅黑"/>
        </w:rPr>
        <w:t>2026年全国大学生测绘学科创新创业智能大赛——科技论文竞赛</w:t>
      </w:r>
    </w:p>
    <w:p>
      <w:pPr>
        <w:pStyle w:val="3"/>
        <w:spacing w:before="156" w:line="360" w:lineRule="auto"/>
        <w:ind w:right="-57" w:rightChars="-27" w:firstLine="0" w:firstLineChars="0"/>
        <w:jc w:val="center"/>
        <w:rPr>
          <w:rFonts w:hint="eastAsia" w:ascii="宋体" w:hAnsi="宋体" w:cs="宋体"/>
          <w:color w:val="000000"/>
          <w:kern w:val="44"/>
        </w:rPr>
      </w:pPr>
      <w:bookmarkStart w:id="2" w:name="OLE_LINK1"/>
      <w:r>
        <w:rPr>
          <w:rFonts w:hint="eastAsia" w:ascii="宋体" w:hAnsi="宋体" w:cs="宋体"/>
          <w:color w:val="000000"/>
          <w:kern w:val="44"/>
        </w:rPr>
        <w:t>千河与渭河交汇区径流与氨氮对土地利用变化的响应</w:t>
      </w:r>
      <w:bookmarkEnd w:id="2"/>
    </w:p>
    <w:p>
      <w:pPr>
        <w:pStyle w:val="3"/>
        <w:spacing w:before="156" w:line="360" w:lineRule="auto"/>
        <w:ind w:right="-57" w:rightChars="-27"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作者：曾玥如 白曦蕾     指导老师：谌昱含</w:t>
      </w:r>
      <w:bookmarkStart w:id="3" w:name="_GoBack"/>
      <w:bookmarkEnd w:id="3"/>
    </w:p>
    <w:p>
      <w:pPr>
        <w:pStyle w:val="2"/>
        <w:spacing w:before="156" w:after="156" w:afterLines="50" w:line="360" w:lineRule="auto"/>
        <w:ind w:firstLine="0" w:firstLineChars="0"/>
        <w:jc w:val="both"/>
        <w:rPr>
          <w:rFonts w:ascii="宋体" w:hAnsi="宋体" w:cs="宋体"/>
          <w:b w:val="0"/>
          <w:bCs w:val="0"/>
          <w:color w:val="000000"/>
          <w:sz w:val="24"/>
        </w:rPr>
      </w:pPr>
      <w:r>
        <w:rPr>
          <w:rFonts w:hint="eastAsia" w:ascii="宋体" w:hAnsi="宋体" w:cs="宋体"/>
          <w:color w:val="000000"/>
          <w:sz w:val="24"/>
        </w:rPr>
        <w:t>摘 要：</w:t>
      </w:r>
      <w:r>
        <w:rPr>
          <w:rFonts w:hint="eastAsia" w:ascii="宋体" w:hAnsi="宋体" w:cs="宋体"/>
          <w:b w:val="0"/>
          <w:bCs w:val="0"/>
          <w:color w:val="000000"/>
          <w:sz w:val="24"/>
        </w:rPr>
        <w:t>为探究土地利用类型及其变化对径流与氨氮输出的影响机制，以千河与渭河交汇区及其上游流域为研究对象，基于S</w:t>
      </w:r>
      <w:r>
        <w:rPr>
          <w:rFonts w:ascii="宋体" w:hAnsi="宋体" w:cs="宋体"/>
          <w:b w:val="0"/>
          <w:bCs w:val="0"/>
          <w:color w:val="000000"/>
          <w:sz w:val="24"/>
        </w:rPr>
        <w:t>WAT</w:t>
      </w:r>
      <w:r>
        <w:rPr>
          <w:rFonts w:hint="eastAsia" w:ascii="宋体" w:hAnsi="宋体" w:cs="宋体"/>
          <w:b w:val="0"/>
          <w:bCs w:val="0"/>
          <w:color w:val="000000"/>
          <w:sz w:val="24"/>
        </w:rPr>
        <w:t>模型模拟了</w:t>
      </w:r>
      <w:r>
        <w:rPr>
          <w:rFonts w:ascii="宋体" w:hAnsi="宋体" w:cs="宋体"/>
          <w:b w:val="0"/>
          <w:bCs w:val="0"/>
          <w:color w:val="000000"/>
          <w:sz w:val="24"/>
        </w:rPr>
        <w:t>2005</w:t>
      </w:r>
      <w:r>
        <w:rPr>
          <w:rFonts w:hint="eastAsia" w:ascii="宋体" w:hAnsi="宋体" w:cs="宋体"/>
          <w:b w:val="0"/>
          <w:bCs w:val="0"/>
          <w:color w:val="000000"/>
          <w:sz w:val="24"/>
        </w:rPr>
        <w:t>与2</w:t>
      </w:r>
      <w:r>
        <w:rPr>
          <w:rFonts w:ascii="宋体" w:hAnsi="宋体" w:cs="宋体"/>
          <w:b w:val="0"/>
          <w:bCs w:val="0"/>
          <w:color w:val="000000"/>
          <w:sz w:val="24"/>
        </w:rPr>
        <w:t>020</w:t>
      </w:r>
      <w:r>
        <w:rPr>
          <w:rFonts w:hint="eastAsia" w:ascii="宋体" w:hAnsi="宋体" w:cs="宋体"/>
          <w:b w:val="0"/>
          <w:bCs w:val="0"/>
          <w:color w:val="000000"/>
          <w:sz w:val="24"/>
        </w:rPr>
        <w:t>年两期土地利用</w:t>
      </w:r>
      <w:r>
        <w:rPr>
          <w:rFonts w:ascii="宋体" w:hAnsi="宋体" w:cs="宋体"/>
          <w:b w:val="0"/>
          <w:bCs w:val="0"/>
          <w:color w:val="000000"/>
          <w:sz w:val="24"/>
        </w:rPr>
        <w:t>情景下的</w:t>
      </w:r>
      <w:r>
        <w:rPr>
          <w:rFonts w:hint="eastAsia" w:ascii="宋体" w:hAnsi="宋体" w:cs="宋体"/>
          <w:b w:val="0"/>
          <w:bCs w:val="0"/>
          <w:color w:val="000000"/>
          <w:sz w:val="24"/>
        </w:rPr>
        <w:t>径流与氨氮输出过程，对比分析了二者时空分布特征及其对土地利用变化的响应规律。结果表明，研究期土地利用以耕地和草地为主，主要变化特征表现为城镇面积扩张；土地利用变化导致氨氮负荷增加</w:t>
      </w:r>
      <w:r>
        <w:rPr>
          <w:rFonts w:ascii="宋体" w:hAnsi="宋体" w:cs="宋体"/>
          <w:b w:val="0"/>
          <w:bCs w:val="0"/>
          <w:color w:val="000000"/>
          <w:sz w:val="24"/>
        </w:rPr>
        <w:t>24.7%</w:t>
      </w:r>
      <w:r>
        <w:rPr>
          <w:rFonts w:hint="eastAsia" w:ascii="宋体" w:hAnsi="宋体" w:cs="宋体"/>
          <w:b w:val="0"/>
          <w:bCs w:val="0"/>
          <w:color w:val="000000"/>
          <w:sz w:val="24"/>
        </w:rPr>
        <w:t>，而径流量仅降低2</w:t>
      </w:r>
      <w:r>
        <w:rPr>
          <w:rFonts w:ascii="宋体" w:hAnsi="宋体" w:cs="宋体"/>
          <w:b w:val="0"/>
          <w:bCs w:val="0"/>
          <w:color w:val="000000"/>
          <w:sz w:val="24"/>
        </w:rPr>
        <w:t>.43%</w:t>
      </w:r>
      <w:r>
        <w:rPr>
          <w:rFonts w:hint="eastAsia" w:ascii="宋体" w:hAnsi="宋体" w:cs="宋体"/>
          <w:b w:val="0"/>
          <w:bCs w:val="0"/>
          <w:color w:val="000000"/>
          <w:sz w:val="24"/>
        </w:rPr>
        <w:t>，氨氮输出对土地利用变化的响应更为敏感。耕地是氨氮负荷的主要来源，而城镇用地扩张则显著提升了负荷强度与关键源区数量。耕地占比&gt;4</w:t>
      </w:r>
      <w:r>
        <w:rPr>
          <w:rFonts w:ascii="宋体" w:hAnsi="宋体" w:cs="宋体"/>
          <w:b w:val="0"/>
          <w:bCs w:val="0"/>
          <w:color w:val="000000"/>
          <w:sz w:val="24"/>
        </w:rPr>
        <w:t>0%</w:t>
      </w:r>
      <w:r>
        <w:rPr>
          <w:rFonts w:hint="eastAsia" w:ascii="宋体" w:hAnsi="宋体" w:cs="宋体"/>
          <w:b w:val="0"/>
          <w:bCs w:val="0"/>
          <w:color w:val="000000"/>
          <w:sz w:val="24"/>
        </w:rPr>
        <w:t>的子流域氨氮负荷强度&gt;1</w:t>
      </w:r>
      <w:r>
        <w:rPr>
          <w:rFonts w:ascii="宋体" w:hAnsi="宋体" w:cs="宋体"/>
          <w:b w:val="0"/>
          <w:bCs w:val="0"/>
          <w:color w:val="000000"/>
          <w:sz w:val="24"/>
        </w:rPr>
        <w:t xml:space="preserve">.2 </w:t>
      </w:r>
      <w:r>
        <w:rPr>
          <w:rFonts w:hint="eastAsia" w:ascii="宋体" w:hAnsi="宋体" w:cs="宋体"/>
          <w:b w:val="0"/>
          <w:bCs w:val="0"/>
          <w:color w:val="000000"/>
          <w:sz w:val="24"/>
        </w:rPr>
        <w:t>kg/km</w:t>
      </w:r>
      <w:r>
        <w:rPr>
          <w:rFonts w:ascii="宋体" w:hAnsi="宋体" w:cs="宋体"/>
          <w:b w:val="0"/>
          <w:bCs w:val="0"/>
          <w:color w:val="000000"/>
          <w:sz w:val="24"/>
        </w:rPr>
        <w:t>2</w:t>
      </w:r>
      <w:r>
        <w:rPr>
          <w:rFonts w:hint="eastAsia" w:ascii="宋体" w:hAnsi="宋体" w:cs="宋体"/>
          <w:b w:val="0"/>
          <w:bCs w:val="0"/>
          <w:color w:val="000000"/>
          <w:sz w:val="24"/>
        </w:rPr>
        <w:t>/a；新增关键源区中城镇面积增长16.17%，负荷强度上升48.27%。本研究可为流域土地利用优化与水污染防控提供科学依据。</w:t>
      </w:r>
    </w:p>
    <w:p>
      <w:pPr>
        <w:pStyle w:val="2"/>
        <w:spacing w:before="156" w:after="156" w:afterLines="50" w:line="360" w:lineRule="auto"/>
        <w:ind w:firstLine="0" w:firstLineChars="0"/>
        <w:jc w:val="both"/>
        <w:rPr>
          <w:rFonts w:hint="eastAsia" w:ascii="宋体" w:hAnsi="宋体" w:cs="宋体"/>
          <w:b w:val="0"/>
          <w:bCs w:val="0"/>
          <w:color w:val="000000"/>
          <w:sz w:val="24"/>
        </w:rPr>
      </w:pPr>
      <w:r>
        <w:rPr>
          <w:rFonts w:hint="eastAsia" w:ascii="宋体" w:hAnsi="宋体" w:cs="宋体"/>
          <w:color w:val="000000"/>
          <w:sz w:val="24"/>
        </w:rPr>
        <w:t>关键词：</w:t>
      </w:r>
      <w:r>
        <w:rPr>
          <w:rFonts w:hint="eastAsia" w:ascii="宋体" w:hAnsi="宋体" w:cs="宋体"/>
          <w:b w:val="0"/>
          <w:bCs w:val="0"/>
          <w:color w:val="000000"/>
          <w:sz w:val="24"/>
        </w:rPr>
        <w:t>交汇区；氨氮；径流；土地利用；关键源区</w:t>
      </w: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cs="宋体"/>
          <w:b w:val="0"/>
          <w:bCs w:val="0"/>
          <w:color w:val="000000"/>
          <w:sz w:val="24"/>
        </w:rPr>
      </w:pPr>
    </w:p>
    <w:p>
      <w:pPr>
        <w:rPr>
          <w:rFonts w:hint="eastAsia" w:ascii="宋体" w:hAnsi="宋体" w:eastAsia="宋体" w:cs="宋体"/>
          <w:b w:val="0"/>
          <w:bCs w:val="0"/>
          <w:color w:val="000000"/>
          <w:sz w:val="24"/>
          <w:lang w:val="en-US" w:eastAsia="zh-CN"/>
        </w:rPr>
      </w:pPr>
    </w:p>
    <w:p>
      <w:pPr>
        <w:rPr>
          <w:rFonts w:hint="eastAsia" w:ascii="宋体" w:hAnsi="宋体" w:eastAsia="宋体" w:cs="宋体"/>
          <w:b w:val="0"/>
          <w:bCs w:val="0"/>
          <w:color w:val="000000"/>
          <w:sz w:val="24"/>
          <w:lang w:val="en-US" w:eastAsia="zh-CN"/>
        </w:rPr>
      </w:pPr>
    </w:p>
    <w:p>
      <w:pPr>
        <w:rPr>
          <w:rFonts w:hint="eastAsia" w:ascii="宋体" w:hAnsi="宋体" w:eastAsia="宋体" w:cs="宋体"/>
          <w:b w:val="0"/>
          <w:bCs w:val="0"/>
          <w:color w:val="000000"/>
          <w:sz w:val="24"/>
          <w:lang w:val="en-US" w:eastAsia="zh-CN"/>
        </w:rPr>
      </w:pPr>
    </w:p>
    <w:p>
      <w:pPr>
        <w:rPr>
          <w:rFonts w:hint="eastAsia" w:ascii="宋体" w:hAnsi="宋体" w:eastAsia="宋体" w:cs="宋体"/>
          <w:b w:val="0"/>
          <w:bCs w:val="0"/>
          <w:color w:val="000000"/>
          <w:sz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4164D"/>
    <w:rsid w:val="050A74F9"/>
    <w:rsid w:val="29A87635"/>
    <w:rsid w:val="2EA4164D"/>
    <w:rsid w:val="5B1F12AC"/>
    <w:rsid w:val="73F64089"/>
    <w:rsid w:val="76B17D35"/>
    <w:rsid w:val="7F182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spacing w:before="340" w:beforeLines="50" w:after="330" w:line="578" w:lineRule="auto"/>
      <w:ind w:firstLine="200" w:firstLineChars="200"/>
      <w:jc w:val="left"/>
      <w:outlineLvl w:val="0"/>
    </w:pPr>
    <w:rPr>
      <w:rFonts w:ascii="Times New Roman" w:hAnsi="Times New Roman" w:eastAsia="宋体" w:cs="Times New Roman"/>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0"/>
    <w:pPr>
      <w:widowControl/>
      <w:spacing w:before="50" w:beforeLines="50" w:line="300" w:lineRule="auto"/>
      <w:ind w:firstLine="200" w:firstLineChars="200"/>
      <w:jc w:val="left"/>
    </w:pPr>
    <w:rPr>
      <w:rFonts w:ascii="Times New Roman" w:hAnsi="Times New Roman" w:eastAsia="宋体" w:cs="Times New Roman"/>
      <w:b/>
      <w:bCs/>
      <w:sz w:val="28"/>
      <w:szCs w:val="28"/>
    </w:rPr>
  </w:style>
  <w:style w:type="paragraph" w:styleId="4">
    <w:name w:val="Title"/>
    <w:basedOn w:val="1"/>
    <w:qFormat/>
    <w:uiPriority w:val="0"/>
    <w:pPr>
      <w:spacing w:before="120" w:after="120"/>
      <w:jc w:val="center"/>
    </w:pPr>
    <w:rPr>
      <w:rFonts w:ascii="等线 Light" w:hAnsi="等线 Light" w:eastAsia="黑体" w:cs="宋体"/>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648</Characters>
  <Lines>0</Lines>
  <Paragraphs>0</Paragraphs>
  <TotalTime>1</TotalTime>
  <ScaleCrop>false</ScaleCrop>
  <LinksUpToDate>false</LinksUpToDate>
  <CharactersWithSpaces>656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2026-06-15T12:36:00Z</dcterms:created>
  <dc:creator>纥汐~ &amp;</dc:creator>
  <cp:lastModifiedBy>豆豆宝宝</cp:lastModifiedBy>
  <dcterms:modified xsi:type="dcterms:W3CDTF">2026-06-17T01:08:08Z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DB88F1D1AF47442CA53A476C9C21CF74</vt:lpwstr>
  </property>
  <property fmtid="{D5CDD505-2E9C-101B-9397-08002B2CF9AE}" pid="4" name="KSOTemplateDocerSaveRecord">
    <vt:lpwstr>eyJoZGlkIjoiMjUxNzE5MDQ1NTQ5ZDU2ZGU3ZDAyOTc0MWM1MjI2MWUiLCJ1c2VySWQiOiIyODQxODAyMjUifQ==</vt:lpwstr>
  </property>
</Properties>
</file>